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长汀</w:t>
      </w:r>
      <w:r>
        <w:rPr>
          <w:rFonts w:ascii="宋体" w:hAnsi="宋体"/>
          <w:b/>
          <w:color w:val="000000" w:themeColor="text1"/>
          <w:sz w:val="36"/>
          <w14:textFill>
            <w14:solidFill>
              <w14:schemeClr w14:val="tx1"/>
            </w14:solidFill>
          </w14:textFill>
        </w:rPr>
        <w:t>职专</w:t>
      </w:r>
      <w:r>
        <w:rPr>
          <w:rFonts w:hint="eastAsia" w:ascii="宋体" w:hAnsi="宋体"/>
          <w:b/>
          <w:color w:val="000000" w:themeColor="text1"/>
          <w:sz w:val="36"/>
          <w14:textFill>
            <w14:solidFill>
              <w14:schemeClr w14:val="tx1"/>
            </w14:solidFill>
          </w14:textFill>
        </w:rPr>
        <w:t>人脸识别闸机（四通道）采购项目询价招标文件</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经我校校务会集体研究决定，现总务处就我校人脸识别闸机（四通道）采购项目进行询价招标，现接受合格的投标人提交密封投标。有关事项如下：</w:t>
      </w:r>
      <w:r>
        <w:rPr>
          <w:rFonts w:hint="eastAsia" w:ascii="仿宋_GB2312" w:eastAsia="仿宋_GB2312"/>
          <w:color w:val="000000" w:themeColor="text1"/>
          <w:sz w:val="28"/>
          <w:szCs w:val="28"/>
          <w14:textFill>
            <w14:solidFill>
              <w14:schemeClr w14:val="tx1"/>
            </w14:solidFill>
          </w14:textFill>
        </w:rPr>
        <w:br w:type="textWrapping"/>
      </w:r>
      <w:r>
        <w:rPr>
          <w:rFonts w:hint="eastAsia" w:ascii="仿宋_GB2312" w:eastAsia="仿宋_GB2312"/>
          <w:b/>
          <w:color w:val="000000" w:themeColor="text1"/>
          <w:sz w:val="28"/>
          <w:szCs w:val="28"/>
          <w14:textFill>
            <w14:solidFill>
              <w14:schemeClr w14:val="tx1"/>
            </w14:solidFill>
          </w14:textFill>
        </w:rPr>
        <w:t>一、招标项目的概况</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w:t>
      </w:r>
      <w:r>
        <w:rPr>
          <w:rFonts w:hint="eastAsia" w:ascii="仿宋_GB2312" w:eastAsia="仿宋_GB2312" w:hAnsiTheme="minorEastAsia"/>
          <w:color w:val="000000" w:themeColor="text1"/>
          <w:sz w:val="28"/>
          <w:szCs w:val="28"/>
          <w14:textFill>
            <w14:solidFill>
              <w14:schemeClr w14:val="tx1"/>
            </w14:solidFill>
          </w14:textFill>
        </w:rPr>
        <w:t>）项目名</w:t>
      </w:r>
      <w:r>
        <w:rPr>
          <w:rFonts w:hint="eastAsia" w:ascii="仿宋_GB2312" w:eastAsia="仿宋_GB2312"/>
          <w:color w:val="000000" w:themeColor="text1"/>
          <w:sz w:val="28"/>
          <w:szCs w:val="28"/>
          <w14:textFill>
            <w14:solidFill>
              <w14:schemeClr w14:val="tx1"/>
            </w14:solidFill>
          </w14:textFill>
        </w:rPr>
        <w:t>称：</w:t>
      </w:r>
      <w:r>
        <w:rPr>
          <w:rFonts w:hint="eastAsia" w:ascii="仿宋_GB2312" w:eastAsia="仿宋_GB2312" w:hAnsiTheme="minorEastAsia"/>
          <w:color w:val="000000" w:themeColor="text1"/>
          <w:sz w:val="28"/>
          <w:szCs w:val="28"/>
          <w14:textFill>
            <w14:solidFill>
              <w14:schemeClr w14:val="tx1"/>
            </w14:solidFill>
          </w14:textFill>
        </w:rPr>
        <w:t>长汀职专人脸识别闸机（四通道）采购项目；</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（二）用途：人脸识别闸机能使校园生活更加便捷，工作和学习环境更加高效，师生学习、工作和生活更安全。</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（三）数量：1批；</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（四）技术要求：详见附表；</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（五）投标人应对项目所有内容进行投标，不允许只对部分内容进行投标。</w:t>
      </w:r>
    </w:p>
    <w:p>
      <w:pPr>
        <w:pStyle w:val="17"/>
        <w:spacing w:line="500" w:lineRule="exact"/>
        <w:ind w:firstLine="200" w:firstLine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二、合格投标人</w:t>
      </w:r>
      <w:r>
        <w:rPr>
          <w:rFonts w:hint="eastAsia" w:ascii="仿宋_GB2312" w:eastAsia="仿宋_GB2312" w:hAnsiTheme="minorEastAsia"/>
          <w:b/>
          <w:color w:val="000000" w:themeColor="text1"/>
          <w:sz w:val="28"/>
          <w:szCs w:val="28"/>
          <w14:textFill>
            <w14:solidFill>
              <w14:schemeClr w14:val="tx1"/>
            </w14:solidFill>
          </w14:textFill>
        </w:rPr>
        <w:t>条件</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（一）投标人必须是具有独立承担民事责任能力的在中华人民共和国境内注册的法人；</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（二）投标人须具有与所投产品相应的生产及经营范围。</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三、</w:t>
      </w:r>
      <w:r>
        <w:rPr>
          <w:rStyle w:val="15"/>
          <w:rFonts w:hint="eastAsia" w:ascii="仿宋_GB2312" w:hAnsi="Microsoft YaHei UI" w:eastAsia="仿宋_GB2312"/>
          <w:color w:val="000000" w:themeColor="text1"/>
          <w:spacing w:val="30"/>
          <w:sz w:val="28"/>
          <w:szCs w:val="28"/>
          <w14:textFill>
            <w14:solidFill>
              <w14:schemeClr w14:val="tx1"/>
            </w14:solidFill>
          </w14:textFill>
        </w:rPr>
        <w:t>供应商需提供包含但不限于以下材料：</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（一）投标人的身份证或委托人的身份证及委托书（提供复印件）；</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（二）《营业执照》、《税务登记证》、《组织机构代码证》或三证合一复印件。个体工商户只需提供负责人身份证明、《营业执照》、《税务登记证》；</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（三）具备履行合同所必需的设备和专业技术能力，根据采购需求详细列明；</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（四）提供近3年内的单位业绩证明文件（如有）；</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（五）提供服务质量保障性承诺，并有可落实的具体方案。</w:t>
      </w:r>
    </w:p>
    <w:p>
      <w:pPr>
        <w:pStyle w:val="10"/>
        <w:shd w:val="clear" w:color="auto" w:fill="FFFFFF"/>
        <w:spacing w:before="0" w:beforeAutospacing="0" w:after="0" w:afterAutospacing="0" w:line="500" w:lineRule="exact"/>
        <w:ind w:firstLine="200"/>
        <w:rPr>
          <w:rFonts w:ascii="仿宋_GB2312" w:eastAsia="仿宋_GB2312" w:hAnsiTheme="minorEastAsia"/>
          <w:color w:val="000000" w:themeColor="text1"/>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以上资料应与“</w:t>
      </w:r>
      <w:r>
        <w:rPr>
          <w:rFonts w:hint="eastAsia" w:ascii="仿宋_GB2312" w:eastAsia="仿宋_GB2312" w:hAnsiTheme="minorEastAsia"/>
          <w:color w:val="000000" w:themeColor="text1"/>
          <w:sz w:val="28"/>
          <w:szCs w:val="28"/>
          <w14:textFill>
            <w14:solidFill>
              <w14:schemeClr w14:val="tx1"/>
            </w14:solidFill>
          </w14:textFill>
        </w:rPr>
        <w:t>长汀职专人脸识别闸机（四通道）采购项目</w:t>
      </w:r>
      <w:r>
        <w:rPr>
          <w:rFonts w:hint="eastAsia" w:ascii="仿宋_GB2312" w:hAnsi="Microsoft YaHei UI" w:eastAsia="仿宋_GB2312"/>
          <w:color w:val="000000" w:themeColor="text1"/>
          <w:spacing w:val="30"/>
          <w:sz w:val="28"/>
          <w:szCs w:val="28"/>
          <w14:textFill>
            <w14:solidFill>
              <w14:schemeClr w14:val="tx1"/>
            </w14:solidFill>
          </w14:textFill>
        </w:rPr>
        <w:t>投标报价表” 装订成册均加盖公章（材料准备一正二副）。</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四、</w:t>
      </w:r>
      <w:r>
        <w:rPr>
          <w:rStyle w:val="15"/>
          <w:rFonts w:hint="eastAsia" w:ascii="仿宋_GB2312" w:hAnsi="Microsoft YaHei UI" w:eastAsia="仿宋_GB2312"/>
          <w:color w:val="000000" w:themeColor="text1"/>
          <w:spacing w:val="30"/>
          <w:sz w:val="28"/>
          <w:szCs w:val="28"/>
          <w14:textFill>
            <w14:solidFill>
              <w14:schemeClr w14:val="tx1"/>
            </w14:solidFill>
          </w14:textFill>
        </w:rPr>
        <w:t>评标原则：</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（一）评标按采购要求和条件进行；</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二）由校方组织评审专家对投标人的报价、技术或业务水平、履约能力、售后服务等因素进行综合评分。如果至投标人递交文件截止时间只有2家响应，采取竞争性谈判方式定标；如最终响应的投标人只有一家，则采取单一来源谈判方式确定中标候选人。</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Style w:val="15"/>
          <w:rFonts w:hint="eastAsia" w:ascii="仿宋_GB2312" w:hAnsi="Microsoft YaHei UI" w:eastAsia="仿宋_GB2312"/>
          <w:color w:val="000000" w:themeColor="text1"/>
          <w:spacing w:val="30"/>
          <w:sz w:val="28"/>
          <w:szCs w:val="28"/>
          <w14:textFill>
            <w14:solidFill>
              <w14:schemeClr w14:val="tx1"/>
            </w14:solidFill>
          </w14:textFill>
        </w:rPr>
        <w:t>五、</w:t>
      </w:r>
      <w:r>
        <w:rPr>
          <w:rFonts w:hint="eastAsia" w:ascii="仿宋_GB2312" w:eastAsia="仿宋_GB2312" w:hAnsiTheme="minorEastAsia"/>
          <w:b/>
          <w:color w:val="000000" w:themeColor="text1"/>
          <w:sz w:val="28"/>
          <w:szCs w:val="28"/>
          <w14:textFill>
            <w14:solidFill>
              <w14:schemeClr w14:val="tx1"/>
            </w14:solidFill>
          </w14:textFill>
        </w:rPr>
        <w:t>报价要求［预算价为肆万玖仟元整(¥49000.00元）］</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（一）报价按综合价格计算，应包括人工、材料、运输费、机械费、管理费、利润及税金；</w:t>
      </w:r>
    </w:p>
    <w:p>
      <w:pPr>
        <w:spacing w:line="500" w:lineRule="exact"/>
        <w:ind w:firstLine="200"/>
        <w:jc w:val="left"/>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（二）报价范围以投标方提供内容为准。</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Style w:val="15"/>
          <w:rFonts w:hint="eastAsia" w:ascii="仿宋_GB2312" w:hAnsi="Microsoft YaHei UI" w:eastAsia="仿宋_GB2312"/>
          <w:color w:val="000000" w:themeColor="text1"/>
          <w:spacing w:val="30"/>
          <w:sz w:val="28"/>
          <w:szCs w:val="28"/>
          <w14:textFill>
            <w14:solidFill>
              <w14:schemeClr w14:val="tx1"/>
            </w14:solidFill>
          </w14:textFill>
        </w:rPr>
        <w:t>六、投标保证金及履约保证金</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（一）投标保证金人民币叁仟元整（3000元整），应于2020年6月24日上午10：00前以现金方式密封盖章；</w:t>
      </w:r>
    </w:p>
    <w:p>
      <w:pPr>
        <w:pStyle w:val="10"/>
        <w:shd w:val="clear" w:color="auto" w:fill="FFFFFF"/>
        <w:spacing w:before="0" w:beforeAutospacing="0" w:after="0" w:afterAutospacing="0" w:line="500" w:lineRule="exact"/>
        <w:ind w:firstLine="200"/>
        <w:rPr>
          <w:rFonts w:ascii="仿宋_GB2312" w:eastAsia="仿宋_GB2312" w:hAnsiTheme="minorEastAsia"/>
          <w:color w:val="000000" w:themeColor="text1"/>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（二）正式确定中标后，未中标者的投标保证金及以无息方式退还，中标者的投标保证金自动转为履约保证金。</w:t>
      </w:r>
    </w:p>
    <w:p>
      <w:pPr>
        <w:spacing w:line="500" w:lineRule="exact"/>
        <w:ind w:firstLine="200"/>
        <w:jc w:val="left"/>
        <w:rPr>
          <w:rFonts w:ascii="仿宋_GB2312" w:eastAsia="仿宋_GB2312" w:hAnsiTheme="minorEastAsia"/>
          <w:bCs/>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 xml:space="preserve">七、验收要求 </w:t>
      </w:r>
      <w:r>
        <w:rPr>
          <w:rFonts w:hint="eastAsia" w:ascii="仿宋_GB2312" w:eastAsia="仿宋_GB2312" w:hAnsiTheme="minorEastAsia"/>
          <w:bCs/>
          <w:color w:val="000000" w:themeColor="text1"/>
          <w:sz w:val="28"/>
          <w:szCs w:val="28"/>
          <w14:textFill>
            <w14:solidFill>
              <w14:schemeClr w14:val="tx1"/>
            </w14:solidFill>
          </w14:textFill>
        </w:rPr>
        <w:t>中标商须参与现场验收。</w:t>
      </w:r>
    </w:p>
    <w:p>
      <w:pPr>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 xml:space="preserve">八、售后要求 </w:t>
      </w:r>
      <w:r>
        <w:rPr>
          <w:rFonts w:hint="eastAsia" w:ascii="仿宋_GB2312" w:eastAsia="仿宋_GB2312" w:hAnsiTheme="minorEastAsia"/>
          <w:color w:val="000000" w:themeColor="text1"/>
          <w:sz w:val="28"/>
          <w:szCs w:val="28"/>
          <w14:textFill>
            <w14:solidFill>
              <w14:schemeClr w14:val="tx1"/>
            </w14:solidFill>
          </w14:textFill>
        </w:rPr>
        <w:t>保修期一年内造成的质量问题，实行免费维修或更换零件。</w:t>
      </w:r>
    </w:p>
    <w:p>
      <w:pPr>
        <w:spacing w:line="500" w:lineRule="exact"/>
        <w:ind w:firstLine="200"/>
        <w:jc w:val="left"/>
        <w:rPr>
          <w:rFonts w:ascii="仿宋_GB2312" w:eastAsia="仿宋_GB2312" w:hAnsiTheme="minorEastAsia"/>
          <w:b/>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九、付款方式</w:t>
      </w:r>
    </w:p>
    <w:p>
      <w:pPr>
        <w:pStyle w:val="6"/>
        <w:spacing w:after="0" w:line="500" w:lineRule="exact"/>
        <w:ind w:left="0" w:leftChars="0"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项目付款方式为分期支付的，按以下方式执行：</w:t>
      </w:r>
      <w:r>
        <w:rPr>
          <w:rFonts w:hint="eastAsia" w:ascii="仿宋_GB2312" w:eastAsia="仿宋_GB2312" w:hAnsiTheme="minorEastAsia"/>
          <w:color w:val="000000" w:themeColor="text1"/>
          <w:sz w:val="28"/>
          <w:szCs w:val="28"/>
          <w:u w:val="single"/>
          <w14:textFill>
            <w14:solidFill>
              <w14:schemeClr w14:val="tx1"/>
            </w14:solidFill>
          </w14:textFill>
        </w:rPr>
        <w:t>产品验收合格后使用甲方付给乙方成交金额的95％，剩余5％至六个月后一次付清。</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Style w:val="15"/>
          <w:rFonts w:hint="eastAsia" w:ascii="仿宋_GB2312" w:hAnsi="Microsoft YaHei UI" w:eastAsia="仿宋_GB2312"/>
          <w:color w:val="000000" w:themeColor="text1"/>
          <w:spacing w:val="30"/>
          <w:sz w:val="28"/>
          <w:szCs w:val="28"/>
          <w14:textFill>
            <w14:solidFill>
              <w14:schemeClr w14:val="tx1"/>
            </w14:solidFill>
          </w14:textFill>
        </w:rPr>
        <w:t>十、本公告公示时间：</w:t>
      </w:r>
      <w:r>
        <w:rPr>
          <w:rFonts w:hint="eastAsia" w:ascii="仿宋_GB2312" w:hAnsi="Microsoft YaHei UI" w:eastAsia="仿宋_GB2312"/>
          <w:color w:val="000000" w:themeColor="text1"/>
          <w:spacing w:val="30"/>
          <w:sz w:val="28"/>
          <w:szCs w:val="28"/>
          <w14:textFill>
            <w14:solidFill>
              <w14:schemeClr w14:val="tx1"/>
            </w14:solidFill>
          </w14:textFill>
        </w:rPr>
        <w:t>2020年6月18日至2020年6月23日。</w:t>
      </w:r>
    </w:p>
    <w:p>
      <w:pPr>
        <w:pStyle w:val="5"/>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十一、本次招标截止投标日期：</w:t>
      </w:r>
      <w:r>
        <w:rPr>
          <w:rFonts w:hint="eastAsia" w:ascii="仿宋_GB2312" w:eastAsia="仿宋_GB2312" w:hAnsiTheme="minorEastAsia"/>
          <w:color w:val="000000" w:themeColor="text1"/>
          <w:sz w:val="28"/>
          <w:szCs w:val="28"/>
          <w14:textFill>
            <w14:solidFill>
              <w14:schemeClr w14:val="tx1"/>
            </w14:solidFill>
          </w14:textFill>
        </w:rPr>
        <w:t>2020年6月23日18：00，请将投标资料密封按时送达本单位总务处修老师处，逾期将不再办理。</w:t>
      </w:r>
    </w:p>
    <w:p>
      <w:pPr>
        <w:pStyle w:val="10"/>
        <w:shd w:val="clear" w:color="auto" w:fill="FFFFFF"/>
        <w:spacing w:before="0" w:beforeAutospacing="0" w:after="0" w:afterAutospacing="0" w:line="500" w:lineRule="exact"/>
        <w:ind w:firstLine="200"/>
        <w:rPr>
          <w:rFonts w:ascii="仿宋_GB2312" w:hAnsi="Microsoft YaHei UI" w:eastAsia="仿宋_GB2312"/>
          <w:color w:val="000000" w:themeColor="text1"/>
          <w:spacing w:val="8"/>
          <w:sz w:val="28"/>
          <w:szCs w:val="28"/>
          <w14:textFill>
            <w14:solidFill>
              <w14:schemeClr w14:val="tx1"/>
            </w14:solidFill>
          </w14:textFill>
        </w:rPr>
      </w:pPr>
      <w:r>
        <w:rPr>
          <w:rStyle w:val="15"/>
          <w:rFonts w:hint="eastAsia" w:ascii="仿宋_GB2312" w:hAnsi="Microsoft YaHei UI" w:eastAsia="仿宋_GB2312"/>
          <w:color w:val="000000" w:themeColor="text1"/>
          <w:spacing w:val="30"/>
          <w:sz w:val="28"/>
          <w:szCs w:val="28"/>
          <w14:textFill>
            <w14:solidFill>
              <w14:schemeClr w14:val="tx1"/>
            </w14:solidFill>
          </w14:textFill>
        </w:rPr>
        <w:t>十二、采购会时间：</w:t>
      </w:r>
      <w:r>
        <w:rPr>
          <w:rFonts w:hint="eastAsia" w:ascii="仿宋_GB2312" w:hAnsi="Microsoft YaHei UI" w:eastAsia="仿宋_GB2312"/>
          <w:color w:val="000000" w:themeColor="text1"/>
          <w:spacing w:val="30"/>
          <w:sz w:val="28"/>
          <w:szCs w:val="28"/>
          <w14:textFill>
            <w14:solidFill>
              <w14:schemeClr w14:val="tx1"/>
            </w14:solidFill>
          </w14:textFill>
        </w:rPr>
        <w:t>2020年6月24日10：00，采购会地点：长汀职专主楼三楼会议室。每家供应商限1-2人携带身份证原件及健康码参加采购会，并配合工作人员安排，做好个人防护（如佩戴口罩等）。</w:t>
      </w:r>
    </w:p>
    <w:p>
      <w:pPr>
        <w:pStyle w:val="5"/>
        <w:spacing w:line="500" w:lineRule="exact"/>
        <w:ind w:firstLine="200"/>
        <w:jc w:val="left"/>
        <w:rPr>
          <w:rFonts w:ascii="仿宋_GB2312" w:eastAsia="仿宋_GB2312" w:hAnsiTheme="minorEastAsia"/>
          <w:color w:val="000000" w:themeColor="text1"/>
          <w:sz w:val="28"/>
          <w:szCs w:val="28"/>
          <w:u w:val="single"/>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地  址：</w:t>
      </w:r>
      <w:r>
        <w:rPr>
          <w:rFonts w:hint="eastAsia" w:ascii="仿宋_GB2312" w:eastAsia="仿宋_GB2312" w:hAnsiTheme="minorEastAsia"/>
          <w:color w:val="000000" w:themeColor="text1"/>
          <w:sz w:val="28"/>
          <w:szCs w:val="28"/>
          <w14:textFill>
            <w14:solidFill>
              <w14:schemeClr w14:val="tx1"/>
            </w14:solidFill>
          </w14:textFill>
        </w:rPr>
        <w:t>福建省长汀县汀州镇江滨中路41号</w:t>
      </w:r>
    </w:p>
    <w:p>
      <w:pPr>
        <w:pStyle w:val="5"/>
        <w:spacing w:line="500" w:lineRule="exact"/>
        <w:ind w:firstLine="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负责人：</w:t>
      </w:r>
      <w:r>
        <w:rPr>
          <w:rFonts w:hint="eastAsia" w:ascii="仿宋_GB2312" w:eastAsia="仿宋_GB2312" w:hAnsiTheme="minorEastAsia"/>
          <w:color w:val="000000" w:themeColor="text1"/>
          <w:sz w:val="28"/>
          <w:szCs w:val="28"/>
          <w14:textFill>
            <w14:solidFill>
              <w14:schemeClr w14:val="tx1"/>
            </w14:solidFill>
          </w14:textFill>
        </w:rPr>
        <w:t>修老师（18006972661）</w:t>
      </w:r>
      <w:r>
        <w:rPr>
          <w:rFonts w:hint="eastAsia" w:ascii="仿宋_GB2312" w:eastAsia="仿宋_GB2312" w:hAnsiTheme="minorEastAsia"/>
          <w:b/>
          <w:color w:val="000000" w:themeColor="text1"/>
          <w:sz w:val="28"/>
          <w:szCs w:val="28"/>
          <w14:textFill>
            <w14:solidFill>
              <w14:schemeClr w14:val="tx1"/>
            </w14:solidFill>
          </w14:textFill>
        </w:rPr>
        <w:t>联系人：</w:t>
      </w:r>
      <w:r>
        <w:rPr>
          <w:rFonts w:hint="eastAsia" w:ascii="仿宋_GB2312" w:eastAsia="仿宋_GB2312" w:hAnsiTheme="minorEastAsia"/>
          <w:color w:val="000000" w:themeColor="text1"/>
          <w:sz w:val="28"/>
          <w:szCs w:val="28"/>
          <w14:textFill>
            <w14:solidFill>
              <w14:schemeClr w14:val="tx1"/>
            </w14:solidFill>
          </w14:textFill>
        </w:rPr>
        <w:t>俞老师（18959006180）</w:t>
      </w:r>
    </w:p>
    <w:p>
      <w:pPr>
        <w:spacing w:line="500" w:lineRule="exact"/>
        <w:ind w:firstLine="7140" w:firstLineChars="255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总务处</w:t>
      </w:r>
    </w:p>
    <w:p>
      <w:pPr>
        <w:spacing w:line="500" w:lineRule="exact"/>
        <w:ind w:firstLine="6440" w:firstLineChars="2300"/>
        <w:jc w:val="left"/>
        <w:rPr>
          <w:rFonts w:ascii="仿宋_GB2312" w:hAnsi="宋体" w:eastAsia="仿宋_GB2312"/>
          <w:color w:val="000000" w:themeColor="text1"/>
          <w:sz w:val="28"/>
          <w:szCs w:val="28"/>
          <w14:textFill>
            <w14:solidFill>
              <w14:schemeClr w14:val="tx1"/>
            </w14:solidFill>
          </w14:textFill>
        </w:rPr>
        <w:sectPr>
          <w:headerReference r:id="rId3" w:type="default"/>
          <w:pgSz w:w="11906" w:h="16838"/>
          <w:pgMar w:top="1134" w:right="1134" w:bottom="1134" w:left="1134" w:header="454" w:footer="567" w:gutter="0"/>
          <w:cols w:space="425" w:num="1"/>
          <w:docGrid w:type="lines" w:linePitch="312" w:charSpace="0"/>
        </w:sectPr>
      </w:pPr>
      <w:r>
        <w:rPr>
          <w:rFonts w:hint="eastAsia" w:ascii="仿宋_GB2312" w:hAnsi="宋体" w:eastAsia="仿宋_GB2312"/>
          <w:color w:val="000000" w:themeColor="text1"/>
          <w:sz w:val="28"/>
          <w:szCs w:val="28"/>
          <w14:textFill>
            <w14:solidFill>
              <w14:schemeClr w14:val="tx1"/>
            </w14:solidFill>
          </w14:textFill>
        </w:rPr>
        <w:t>2020年6月17日</w:t>
      </w:r>
    </w:p>
    <w:p>
      <w:pPr>
        <w:jc w:val="left"/>
        <w:rPr>
          <w:rFonts w:ascii="宋体" w:hAnsi="宋体" w:cs="宋体"/>
          <w:b/>
          <w:color w:val="000000" w:themeColor="text1"/>
          <w:kern w:val="0"/>
          <w:sz w:val="40"/>
          <w:szCs w:val="21"/>
          <w14:textFill>
            <w14:solidFill>
              <w14:schemeClr w14:val="tx1"/>
            </w14:solidFill>
          </w14:textFill>
        </w:rPr>
      </w:pPr>
      <w:r>
        <w:rPr>
          <w:rFonts w:hint="eastAsia" w:ascii="宋体" w:hAnsi="宋体" w:cs="宋体"/>
          <w:b/>
          <w:color w:val="000000" w:themeColor="text1"/>
          <w:kern w:val="0"/>
          <w:sz w:val="40"/>
          <w:szCs w:val="21"/>
          <w14:textFill>
            <w14:solidFill>
              <w14:schemeClr w14:val="tx1"/>
            </w14:solidFill>
          </w14:textFill>
        </w:rPr>
        <w:t>附件1：</w:t>
      </w:r>
    </w:p>
    <w:p>
      <w:pPr>
        <w:jc w:val="center"/>
        <w:rPr>
          <w:rFonts w:ascii="宋体" w:hAnsi="宋体" w:cs="宋体"/>
          <w:b/>
          <w:color w:val="000000" w:themeColor="text1"/>
          <w:kern w:val="0"/>
          <w:sz w:val="40"/>
          <w:szCs w:val="21"/>
          <w14:textFill>
            <w14:solidFill>
              <w14:schemeClr w14:val="tx1"/>
            </w14:solidFill>
          </w14:textFill>
        </w:rPr>
      </w:pPr>
      <w:r>
        <w:rPr>
          <w:rFonts w:hint="eastAsia" w:ascii="宋体" w:hAnsi="宋体" w:cs="宋体"/>
          <w:b/>
          <w:color w:val="000000" w:themeColor="text1"/>
          <w:kern w:val="0"/>
          <w:sz w:val="40"/>
          <w:szCs w:val="21"/>
          <w14:textFill>
            <w14:solidFill>
              <w14:schemeClr w14:val="tx1"/>
            </w14:solidFill>
          </w14:textFill>
        </w:rPr>
        <w:t>长汀职专人脸识别闸机（四通道）采</w:t>
      </w:r>
      <w:r>
        <w:rPr>
          <w:rFonts w:ascii="宋体" w:hAnsi="宋体" w:cs="宋体"/>
          <w:b/>
          <w:color w:val="000000" w:themeColor="text1"/>
          <w:kern w:val="0"/>
          <w:sz w:val="40"/>
          <w:szCs w:val="21"/>
          <w14:textFill>
            <w14:solidFill>
              <w14:schemeClr w14:val="tx1"/>
            </w14:solidFill>
          </w14:textFill>
        </w:rPr>
        <w:t>购</w:t>
      </w:r>
      <w:r>
        <w:rPr>
          <w:rFonts w:hint="eastAsia" w:ascii="宋体" w:hAnsi="宋体" w:cs="宋体"/>
          <w:b/>
          <w:color w:val="000000" w:themeColor="text1"/>
          <w:kern w:val="0"/>
          <w:sz w:val="40"/>
          <w:szCs w:val="21"/>
          <w14:textFill>
            <w14:solidFill>
              <w14:schemeClr w14:val="tx1"/>
            </w14:solidFill>
          </w14:textFill>
        </w:rPr>
        <w:t>项目</w:t>
      </w:r>
      <w:r>
        <w:rPr>
          <w:rFonts w:ascii="宋体" w:hAnsi="宋体" w:cs="宋体"/>
          <w:b/>
          <w:color w:val="000000" w:themeColor="text1"/>
          <w:kern w:val="0"/>
          <w:sz w:val="40"/>
          <w:szCs w:val="21"/>
          <w14:textFill>
            <w14:solidFill>
              <w14:schemeClr w14:val="tx1"/>
            </w14:solidFill>
          </w14:textFill>
        </w:rPr>
        <w:t>报价单</w:t>
      </w:r>
    </w:p>
    <w:tbl>
      <w:tblPr>
        <w:tblStyle w:val="12"/>
        <w:tblW w:w="13700" w:type="dxa"/>
        <w:jc w:val="center"/>
        <w:tblLayout w:type="fixed"/>
        <w:tblCellMar>
          <w:top w:w="0" w:type="dxa"/>
          <w:left w:w="108" w:type="dxa"/>
          <w:bottom w:w="0" w:type="dxa"/>
          <w:right w:w="108" w:type="dxa"/>
        </w:tblCellMar>
      </w:tblPr>
      <w:tblGrid>
        <w:gridCol w:w="456"/>
        <w:gridCol w:w="1235"/>
        <w:gridCol w:w="5954"/>
        <w:gridCol w:w="835"/>
        <w:gridCol w:w="1080"/>
        <w:gridCol w:w="1080"/>
        <w:gridCol w:w="1541"/>
        <w:gridCol w:w="1519"/>
      </w:tblGrid>
      <w:tr>
        <w:tblPrEx>
          <w:tblCellMar>
            <w:top w:w="0" w:type="dxa"/>
            <w:left w:w="108" w:type="dxa"/>
            <w:bottom w:w="0" w:type="dxa"/>
            <w:right w:w="108" w:type="dxa"/>
          </w:tblCellMar>
        </w:tblPrEx>
        <w:trPr>
          <w:trHeight w:val="300" w:hRule="atLeast"/>
          <w:jc w:val="center"/>
        </w:trPr>
        <w:tc>
          <w:tcPr>
            <w:tcW w:w="4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123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货物品名</w:t>
            </w:r>
          </w:p>
        </w:tc>
        <w:tc>
          <w:tcPr>
            <w:tcW w:w="5954"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规格参数</w:t>
            </w:r>
          </w:p>
        </w:tc>
        <w:tc>
          <w:tcPr>
            <w:tcW w:w="83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单价</w:t>
            </w:r>
          </w:p>
        </w:tc>
        <w:tc>
          <w:tcPr>
            <w:tcW w:w="1541"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金额</w:t>
            </w:r>
          </w:p>
        </w:tc>
        <w:tc>
          <w:tcPr>
            <w:tcW w:w="15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有无偏离</w:t>
            </w:r>
          </w:p>
        </w:tc>
      </w:tr>
      <w:tr>
        <w:tblPrEx>
          <w:tblCellMar>
            <w:top w:w="0" w:type="dxa"/>
            <w:left w:w="108" w:type="dxa"/>
            <w:bottom w:w="0" w:type="dxa"/>
            <w:right w:w="108" w:type="dxa"/>
          </w:tblCellMar>
        </w:tblPrEx>
        <w:trPr>
          <w:trHeight w:val="3111" w:hRule="atLeast"/>
          <w:jc w:val="center"/>
        </w:trPr>
        <w:tc>
          <w:tcPr>
            <w:tcW w:w="45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235"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人脸识别机</w:t>
            </w:r>
          </w:p>
        </w:tc>
        <w:tc>
          <w:tcPr>
            <w:tcW w:w="5954" w:type="dxa"/>
            <w:tcBorders>
              <w:top w:val="nil"/>
              <w:left w:val="nil"/>
              <w:bottom w:val="single" w:color="auto" w:sz="4" w:space="0"/>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显示 :显示屏 7英寸IPS全视角LCD屏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分辨率 </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1024 × 600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RGB摄像机 :图像传感器 1/2.7"逐行扫描CMOS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分辨率</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 1920 × 1080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视场角 90°  焦距约3.6 mm  光圈 F2.2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白平衡 支持   曝光 支持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图像增强 宽动态、背光补偿、强光抑制、数字降噪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接口 :串行通讯接口 1路RS-232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继电器输出 1路开门信号输出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韦根输出 1路韦根26/34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复位接口 线缆端Reset按键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网络接口 1路RJ45 100M以太网口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功能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人脸检测 同时检测跟踪5个人以上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识别模式 人脸</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识别准确率 </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99.99%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人脸容量 不得少于20000张人脸照片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陌生人检测 支持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识别距离配置 支持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UI界面配置 支持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远程升级 支持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部署方式 公网、局域网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系统参数 :操作系统 Android CPU  4核，1.8GHz以上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存储容量 内存</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2GB，存储</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8GB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常规参数：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防护等级 IP54 电源 DC 12 V/2A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工作温度 -10 ℃～50 ℃  工作湿度 10%～90%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功耗 ≤15 W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设备尺寸 约φ114 mm × 562 mm</w:t>
            </w:r>
          </w:p>
        </w:tc>
        <w:tc>
          <w:tcPr>
            <w:tcW w:w="835"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台</w:t>
            </w:r>
          </w:p>
        </w:tc>
        <w:tc>
          <w:tcPr>
            <w:tcW w:w="1080"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1080"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tcBorders>
              <w:top w:val="nil"/>
              <w:left w:val="single" w:color="000000" w:sz="8" w:space="0"/>
              <w:bottom w:val="single" w:color="auto" w:sz="4"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tcBorders>
              <w:top w:val="nil"/>
              <w:left w:val="single" w:color="000000" w:sz="8" w:space="0"/>
              <w:bottom w:val="single" w:color="auto" w:sz="4"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285" w:hRule="atLeast"/>
          <w:jc w:val="center"/>
        </w:trPr>
        <w:tc>
          <w:tcPr>
            <w:tcW w:w="456"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23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单机芯闸机</w:t>
            </w:r>
          </w:p>
        </w:tc>
        <w:tc>
          <w:tcPr>
            <w:tcW w:w="5954" w:type="dxa"/>
            <w:tcBorders>
              <w:top w:val="single" w:color="auto" w:sz="4" w:space="0"/>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开闸时间：</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0.3s  </w:t>
            </w:r>
          </w:p>
        </w:tc>
        <w:tc>
          <w:tcPr>
            <w:tcW w:w="83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台</w:t>
            </w:r>
          </w:p>
        </w:tc>
        <w:tc>
          <w:tcPr>
            <w:tcW w:w="1080"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080"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通行速度：不得少于35人 /分</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电压输入：220V,50HZ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马达电压：约24V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功率：≤30W</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102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single" w:color="000000" w:sz="8" w:space="0"/>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信号接入：12V电平信号或脉宽&gt;100ms                                           长约1400mm 宽约280mm高约1000mm</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2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双机芯闸机</w:t>
            </w: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开闸时间：</w:t>
            </w:r>
            <w:r>
              <w:rPr>
                <w:rFonts w:hint="eastAsia" w:ascii="微软雅黑" w:hAnsi="微软雅黑" w:eastAsia="微软雅黑" w:cs="微软雅黑"/>
                <w:color w:val="000000"/>
                <w:kern w:val="0"/>
                <w:sz w:val="24"/>
              </w:rPr>
              <w:t>≦</w:t>
            </w:r>
            <w:r>
              <w:rPr>
                <w:rFonts w:hint="eastAsia" w:ascii="仿宋_GB2312" w:hAnsi="宋体" w:eastAsia="仿宋_GB2312" w:cs="宋体"/>
                <w:color w:val="000000"/>
                <w:kern w:val="0"/>
                <w:sz w:val="24"/>
              </w:rPr>
              <w:t xml:space="preserve">0.3s  </w:t>
            </w:r>
          </w:p>
        </w:tc>
        <w:tc>
          <w:tcPr>
            <w:tcW w:w="8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台</w:t>
            </w:r>
          </w:p>
        </w:tc>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通行速度：不得少于35人 /分</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电压输入：220V,50HZ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马达电压：约24V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功率：≤30w</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信号接入：12V电平信号或脉宽&gt;100ms                                           长 约1400mm</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宽 约280mm</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30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single" w:color="000000" w:sz="8" w:space="0"/>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高 约1000mm</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auto" w:sz="4"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456"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12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校E通平台</w:t>
            </w: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1.学生进出校园通过图片形式发送给指定的手机，如家长通过公众号查看学生进出校园照片；</w:t>
            </w:r>
          </w:p>
        </w:tc>
        <w:tc>
          <w:tcPr>
            <w:tcW w:w="8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套</w:t>
            </w:r>
          </w:p>
        </w:tc>
        <w:tc>
          <w:tcPr>
            <w:tcW w:w="1080" w:type="dxa"/>
            <w:vMerge w:val="restart"/>
            <w:tcBorders>
              <w:top w:val="nil"/>
              <w:left w:val="single" w:color="000000" w:sz="8" w:space="0"/>
              <w:bottom w:val="single" w:color="000000" w:sz="8"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nil"/>
              <w:left w:val="single" w:color="auto" w:sz="4" w:space="0"/>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2.支持一个用户具有多角色，即同时是老师和家长，或者是多个学生家长时，使用一个账户而无须在不同账号之间切换登录；</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3.支持平台分级管理，即学校管理员、部门管理员、班级管理员等，分别具有不同范围和级别的管理权限；</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4.支持按不同级别范围，统计并输出详细的应用报表；</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5.根据需求设置高级管理员、管理员、学校领导、各年级负责人、各学科负责人、学生、班主任、家长等相关权限、专属应用等；</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6.支持定向（特定年级或班级）发布；</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7.支持发布文字、图片格式内容；</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8.支持公告内容图文混排；</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9.支持学生到校离校人脸识别签到并向家长推送考勤结果。</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45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23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信息查询终端机管理软件PC端</w:t>
            </w: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1.支持一个用户具有多角色，即同时是老师和家长，或者是多个学生家长时，使用一个账户而无须在不同账号之间切换登录；</w:t>
            </w:r>
          </w:p>
        </w:tc>
        <w:tc>
          <w:tcPr>
            <w:tcW w:w="83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套</w:t>
            </w:r>
          </w:p>
        </w:tc>
        <w:tc>
          <w:tcPr>
            <w:tcW w:w="1080" w:type="dxa"/>
            <w:vMerge w:val="restart"/>
            <w:tcBorders>
              <w:top w:val="nil"/>
              <w:left w:val="single" w:color="auto" w:sz="8" w:space="0"/>
              <w:bottom w:val="single" w:color="000000" w:sz="8"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nil"/>
              <w:left w:val="single" w:color="auto" w:sz="4" w:space="0"/>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2.支持平台分级管理，即学校管理员、部门管理员、班级管理员等，分别具有不同范围和级别的管理权限；</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3.支持按不同级别范围，统计并输出详细的应用报表；</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4.根据需求设置高级管理员、管理员、学校领导、各年级负责人、各学科负责人、学生、班主任、家长等相关权限、专属应用等；</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5.支持定向（特定年级或班级）发布；</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6.支持发布文字、图片格式内容；</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7.支持公告内容图文混排；</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5" w:hRule="atLeast"/>
          <w:jc w:val="center"/>
        </w:trPr>
        <w:tc>
          <w:tcPr>
            <w:tcW w:w="45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single" w:color="auto" w:sz="8" w:space="0"/>
              <w:right w:val="single" w:color="auto"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8.支持学生到校离校人脸识别签到并向家长推送考勤结果。</w:t>
            </w: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auto" w:sz="4"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900" w:hRule="atLeast"/>
          <w:jc w:val="center"/>
        </w:trPr>
        <w:tc>
          <w:tcPr>
            <w:tcW w:w="456"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12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手机端微信公众号查询端</w:t>
            </w: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1.根据学校自行设定到校离校时间，时间点到了平台自动统计学生到校情况给班主任发送信息，班主任通过手机微信公众号查看学生考勤情况；</w:t>
            </w:r>
          </w:p>
        </w:tc>
        <w:tc>
          <w:tcPr>
            <w:tcW w:w="8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套</w:t>
            </w:r>
          </w:p>
        </w:tc>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80"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2.家长通过微信公众号查看学生到校离校情况，学校发布的通知、作业；</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3.家长通过微信公众号在线请假、审批；</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4.教师通过微信公众号发布通知、作业，可以以文字和图片的形式；</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5.系统会自动向食堂管理员的微信上发布到校学生数，以便于配餐。</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1235" w:type="dxa"/>
            <w:vMerge w:val="restart"/>
            <w:tcBorders>
              <w:top w:val="nil"/>
              <w:left w:val="nil"/>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p>
            <w:pPr>
              <w:widowControl/>
              <w:jc w:val="center"/>
              <w:rPr>
                <w:rFonts w:ascii="仿宋_GB2312" w:hAnsi="宋体" w:eastAsia="仿宋_GB2312" w:cs="宋体"/>
                <w:kern w:val="0"/>
                <w:sz w:val="24"/>
              </w:rPr>
            </w:pPr>
            <w:r>
              <w:rPr>
                <w:rFonts w:hint="eastAsia" w:ascii="仿宋_GB2312" w:hAnsi="宋体" w:eastAsia="仿宋_GB2312" w:cs="宋体"/>
                <w:color w:val="000000"/>
                <w:kern w:val="0"/>
                <w:sz w:val="24"/>
              </w:rPr>
              <w:t>访客管理系统</w:t>
            </w:r>
            <w:r>
              <w:rPr>
                <w:rFonts w:hint="eastAsia" w:ascii="仿宋_GB2312" w:hAnsi="宋体" w:eastAsia="仿宋_GB2312" w:cs="宋体"/>
                <w:kern w:val="0"/>
                <w:sz w:val="24"/>
              </w:rPr>
              <w:t>　　　</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p>
            <w:pPr>
              <w:jc w:val="left"/>
              <w:rPr>
                <w:rFonts w:ascii="仿宋_GB2312" w:hAnsi="宋体" w:eastAsia="仿宋_GB2312" w:cs="宋体"/>
                <w:color w:val="000000"/>
                <w:kern w:val="0"/>
                <w:sz w:val="24"/>
              </w:rPr>
            </w:pPr>
            <w:r>
              <w:rPr>
                <w:rFonts w:hint="eastAsia" w:ascii="仿宋_GB2312" w:hAnsi="宋体" w:eastAsia="仿宋_GB2312" w:cs="宋体"/>
                <w:kern w:val="0"/>
                <w:sz w:val="24"/>
              </w:rPr>
              <w:t>　</w:t>
            </w:r>
          </w:p>
        </w:tc>
        <w:tc>
          <w:tcPr>
            <w:tcW w:w="5954" w:type="dxa"/>
            <w:tcBorders>
              <w:top w:val="single" w:color="000000" w:sz="8" w:space="0"/>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1.刷身份证自动读取信息； </w:t>
            </w:r>
          </w:p>
        </w:tc>
        <w:tc>
          <w:tcPr>
            <w:tcW w:w="83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套</w:t>
            </w:r>
          </w:p>
        </w:tc>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color w:val="000000"/>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2.现场拍照人像采集进行人证比对；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3.来访人身份证、电话、车牌等信息登记；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4.被访人职位等信息登记；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5.打印带有访客照片的访客单；</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6.当日访客人数、访客离开人数、未离开人数；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7.访客离开/未离开记录区别显示 ；             </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8.显示离开未登记；</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right w:val="single" w:color="000000" w:sz="8" w:space="0"/>
            </w:tcBorders>
            <w:shd w:val="clear" w:color="auto" w:fill="auto"/>
            <w:noWrap/>
            <w:vAlign w:val="center"/>
          </w:tcPr>
          <w:p>
            <w:pPr>
              <w:jc w:val="left"/>
              <w:rPr>
                <w:rFonts w:ascii="仿宋_GB2312" w:hAnsi="宋体" w:eastAsia="仿宋_GB2312" w:cs="宋体"/>
                <w:kern w:val="0"/>
                <w:sz w:val="24"/>
              </w:rPr>
            </w:pPr>
          </w:p>
        </w:tc>
        <w:tc>
          <w:tcPr>
            <w:tcW w:w="5954" w:type="dxa"/>
            <w:tcBorders>
              <w:top w:val="nil"/>
              <w:left w:val="nil"/>
              <w:bottom w:val="nil"/>
              <w:right w:val="single" w:color="000000" w:sz="8"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9.读取身份证离开登记；</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300" w:hRule="atLeast"/>
          <w:jc w:val="center"/>
        </w:trPr>
        <w:tc>
          <w:tcPr>
            <w:tcW w:w="456"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235" w:type="dxa"/>
            <w:vMerge w:val="continue"/>
            <w:tcBorders>
              <w:left w:val="nil"/>
              <w:bottom w:val="single" w:color="000000" w:sz="8" w:space="0"/>
              <w:right w:val="single" w:color="000000" w:sz="8" w:space="0"/>
            </w:tcBorders>
            <w:shd w:val="clear" w:color="auto" w:fill="auto"/>
            <w:noWrap/>
            <w:vAlign w:val="center"/>
          </w:tcPr>
          <w:p>
            <w:pPr>
              <w:widowControl/>
              <w:jc w:val="left"/>
              <w:rPr>
                <w:rFonts w:ascii="仿宋_GB2312" w:hAnsi="宋体" w:eastAsia="仿宋_GB2312" w:cs="宋体"/>
                <w:kern w:val="0"/>
                <w:sz w:val="24"/>
              </w:rPr>
            </w:pPr>
          </w:p>
        </w:tc>
        <w:tc>
          <w:tcPr>
            <w:tcW w:w="5954" w:type="dxa"/>
            <w:tcBorders>
              <w:top w:val="nil"/>
              <w:left w:val="nil"/>
              <w:bottom w:val="single" w:color="000000" w:sz="8" w:space="0"/>
              <w:right w:val="single" w:color="000000" w:sz="8" w:space="0"/>
            </w:tcBorders>
            <w:shd w:val="clear" w:color="auto" w:fill="auto"/>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10.手动离开登记。</w:t>
            </w:r>
          </w:p>
        </w:tc>
        <w:tc>
          <w:tcPr>
            <w:tcW w:w="83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4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c>
          <w:tcPr>
            <w:tcW w:w="151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5" w:hRule="atLeast"/>
          <w:jc w:val="center"/>
        </w:trPr>
        <w:tc>
          <w:tcPr>
            <w:tcW w:w="169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合计</w:t>
            </w:r>
          </w:p>
        </w:tc>
        <w:tc>
          <w:tcPr>
            <w:tcW w:w="5954" w:type="dxa"/>
            <w:tcBorders>
              <w:top w:val="nil"/>
              <w:left w:val="nil"/>
              <w:bottom w:val="single" w:color="000000" w:sz="8" w:space="0"/>
              <w:right w:val="single" w:color="000000" w:sz="8"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35" w:type="dxa"/>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1" w:type="dxa"/>
            <w:tcBorders>
              <w:top w:val="nil"/>
              <w:left w:val="nil"/>
              <w:bottom w:val="single" w:color="000000" w:sz="8" w:space="0"/>
              <w:right w:val="single" w:color="000000" w:sz="8" w:space="0"/>
            </w:tcBorders>
            <w:shd w:val="clear" w:color="auto" w:fill="auto"/>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pacing w:line="400" w:lineRule="exact"/>
        <w:jc w:val="left"/>
        <w:rPr>
          <w:rFonts w:ascii="宋体" w:hAnsi="宋体"/>
          <w:b/>
          <w:bCs/>
          <w:color w:val="000000" w:themeColor="text1"/>
          <w:sz w:val="28"/>
          <w:szCs w:val="28"/>
          <w14:textFill>
            <w14:solidFill>
              <w14:schemeClr w14:val="tx1"/>
            </w14:solidFill>
          </w14:textFill>
        </w:rPr>
      </w:pPr>
    </w:p>
    <w:p>
      <w:pPr>
        <w:spacing w:line="400" w:lineRule="exact"/>
        <w:jc w:val="left"/>
        <w:rPr>
          <w:rFonts w:asciiTheme="minorEastAsia" w:hAnsiTheme="minorEastAsia"/>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Theme="minorEastAsia" w:hAnsiTheme="minorEastAsia"/>
          <w:b/>
          <w:bCs/>
          <w:color w:val="000000" w:themeColor="text1"/>
          <w:sz w:val="28"/>
          <w:szCs w:val="28"/>
          <w14:textFill>
            <w14:solidFill>
              <w14:schemeClr w14:val="tx1"/>
            </w14:solidFill>
          </w14:textFill>
        </w:rPr>
        <w:t>中标方须对项目</w:t>
      </w:r>
      <w:r>
        <w:rPr>
          <w:rFonts w:hint="eastAsia" w:asciiTheme="minorEastAsia" w:hAnsiTheme="minorEastAsia"/>
          <w:b/>
          <w:bCs/>
          <w:color w:val="FF0000"/>
          <w:sz w:val="28"/>
          <w:szCs w:val="28"/>
        </w:rPr>
        <w:t>4、5、6、7</w:t>
      </w:r>
      <w:r>
        <w:rPr>
          <w:rFonts w:hint="eastAsia" w:asciiTheme="minorEastAsia" w:hAnsiTheme="minorEastAsia"/>
          <w:b/>
          <w:bCs/>
          <w:color w:val="000000" w:themeColor="text1"/>
          <w:sz w:val="28"/>
          <w:szCs w:val="28"/>
          <w14:textFill>
            <w14:solidFill>
              <w14:schemeClr w14:val="tx1"/>
            </w14:solidFill>
          </w14:textFill>
        </w:rPr>
        <w:t>进行现场演示。</w:t>
      </w:r>
      <w:bookmarkStart w:id="0" w:name="_GoBack"/>
      <w:bookmarkEnd w:id="0"/>
    </w:p>
    <w:p>
      <w:pPr>
        <w:spacing w:line="400" w:lineRule="exact"/>
        <w:jc w:val="left"/>
        <w:rPr>
          <w:rFonts w:asciiTheme="minorEastAsia" w:hAnsiTheme="minorEastAsia"/>
          <w:b/>
          <w:bCs/>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联系人： </w:t>
      </w:r>
      <w:r>
        <w:rPr>
          <w:rFonts w:asciiTheme="minorEastAsia" w:hAnsiTheme="minorEastAsia"/>
          <w:color w:val="000000" w:themeColor="text1"/>
          <w:sz w:val="28"/>
          <w:szCs w:val="28"/>
          <w14:textFill>
            <w14:solidFill>
              <w14:schemeClr w14:val="tx1"/>
            </w14:solidFill>
          </w14:textFill>
        </w:rPr>
        <w:t xml:space="preserve"> </w:t>
      </w: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联系电话：</w:t>
      </w:r>
      <w:r>
        <w:rPr>
          <w:rFonts w:asciiTheme="minorEastAsia" w:hAnsiTheme="minorEastAsia"/>
          <w:color w:val="000000" w:themeColor="text1"/>
          <w:sz w:val="28"/>
          <w:szCs w:val="28"/>
          <w14:textFill>
            <w14:solidFill>
              <w14:schemeClr w14:val="tx1"/>
            </w14:solidFill>
          </w14:textFill>
        </w:rPr>
        <w:t xml:space="preserve"> </w:t>
      </w: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供货商名称（盖章）： </w:t>
      </w: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pPr>
    </w:p>
    <w:p>
      <w:pPr>
        <w:spacing w:line="400" w:lineRule="exact"/>
        <w:jc w:val="center"/>
        <w:rPr>
          <w:rFonts w:asciiTheme="minorEastAsia" w:hAnsiTheme="minorEastAsia"/>
          <w:color w:val="000000" w:themeColor="text1"/>
          <w:sz w:val="28"/>
          <w:szCs w:val="28"/>
          <w14:textFill>
            <w14:solidFill>
              <w14:schemeClr w14:val="tx1"/>
            </w14:solidFill>
          </w14:textFill>
        </w:rPr>
        <w:sectPr>
          <w:pgSz w:w="16838" w:h="11906" w:orient="landscape"/>
          <w:pgMar w:top="1134" w:right="1134" w:bottom="1134" w:left="1134" w:header="454" w:footer="567" w:gutter="0"/>
          <w:cols w:space="425" w:num="1"/>
          <w:docGrid w:type="linesAndChars" w:linePitch="312" w:charSpace="0"/>
        </w:sectPr>
      </w:pPr>
    </w:p>
    <w:p>
      <w:pP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附件2：</w:t>
      </w:r>
    </w:p>
    <w:p>
      <w:pPr>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疫情防控期间参加招投标活动承诺书</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福建省长汀职业中专学校：</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我司人员</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 xml:space="preserve">  身份证号：</w:t>
      </w:r>
      <w:r>
        <w:rPr>
          <w:rFonts w:hint="eastAsia" w:ascii="仿宋" w:hAnsi="仿宋" w:eastAsia="仿宋"/>
          <w:color w:val="000000" w:themeColor="text1"/>
          <w:sz w:val="28"/>
          <w:u w:val="single"/>
          <w14:textFill>
            <w14:solidFill>
              <w14:schemeClr w14:val="tx1"/>
            </w14:solidFill>
          </w14:textFill>
        </w:rPr>
        <w:t xml:space="preserve">                            </w:t>
      </w:r>
    </w:p>
    <w:p>
      <w:pPr>
        <w:spacing w:line="400" w:lineRule="exact"/>
        <w:jc w:val="left"/>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作为我司投标人代表，前往贵单位参加</w:t>
      </w:r>
      <w:r>
        <w:rPr>
          <w:rFonts w:hint="eastAsia" w:ascii="仿宋" w:hAnsi="仿宋" w:eastAsia="仿宋"/>
          <w:color w:val="000000" w:themeColor="text1"/>
          <w:sz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长汀职专人脸识别闸机（四通道）采购项目 </w:t>
      </w:r>
      <w:r>
        <w:rPr>
          <w:rFonts w:hint="eastAsia" w:ascii="仿宋" w:hAnsi="仿宋" w:eastAsia="仿宋"/>
          <w:color w:val="000000" w:themeColor="text1"/>
          <w:sz w:val="28"/>
          <w14:textFill>
            <w14:solidFill>
              <w14:schemeClr w14:val="tx1"/>
            </w14:solidFill>
          </w14:textFill>
        </w:rPr>
        <w:t>开标活动。</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按照党中央、国务院防控工作部署，根据《中华人民共和国突发事件应对法》《中华人民共和国传染病防治法》和重大突发公共卫生事件一级响应机制的有关规定，结合省、市、县有关做好新型冠状病毒感染的肺炎疫情防控工作的有关文件精神，我司作出郑重承诺如下：</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1.现场参与开标的工作人员健康状况良好，没有新型冠状病毒肺炎患病史、接触史和隔离史。</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2.按照《福建省财政厅关于做好疫情防控期间政府釆购有关工作的通知》要求，主动配合长汀职业中专学校的开标工作。</w:t>
      </w:r>
    </w:p>
    <w:p>
      <w:pPr>
        <w:ind w:firstLine="57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3.如在开标结束后，有发热、咳嗽等疑似新型冠状病毒肺炎的情况，及时主动向福建省长汀职业中专学校通报。</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以上承诺事项若不能履行到位，愿承担相应的法律责任。</w:t>
      </w:r>
    </w:p>
    <w:p>
      <w:pPr>
        <w:rPr>
          <w:rFonts w:ascii="仿宋" w:hAnsi="仿宋" w:eastAsia="仿宋"/>
          <w:color w:val="000000" w:themeColor="text1"/>
          <w:sz w:val="28"/>
          <w14:textFill>
            <w14:solidFill>
              <w14:schemeClr w14:val="tx1"/>
            </w14:solidFill>
          </w14:textFill>
        </w:rPr>
      </w:pPr>
    </w:p>
    <w:p>
      <w:pPr>
        <w:rPr>
          <w:rFonts w:ascii="仿宋" w:hAnsi="仿宋" w:eastAsia="仿宋"/>
          <w:color w:val="000000" w:themeColor="text1"/>
          <w:sz w:val="28"/>
          <w14:textFill>
            <w14:solidFill>
              <w14:schemeClr w14:val="tx1"/>
            </w14:solidFill>
          </w14:textFill>
        </w:rPr>
      </w:pPr>
    </w:p>
    <w:p>
      <w:pPr>
        <w:ind w:firstLine="4480" w:firstLineChars="16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投标单位（盖公章）</w:t>
      </w:r>
    </w:p>
    <w:p>
      <w:pPr>
        <w:ind w:firstLine="4480" w:firstLineChars="16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承诺人(签字)：</w:t>
      </w:r>
    </w:p>
    <w:p>
      <w:pPr>
        <w:ind w:firstLine="4480" w:firstLineChars="16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承诺时间</w:t>
      </w:r>
    </w:p>
    <w:p>
      <w:pPr>
        <w:spacing w:line="400" w:lineRule="exact"/>
        <w:jc w:val="left"/>
        <w:rPr>
          <w:rFonts w:asciiTheme="minorEastAsia" w:hAnsiTheme="minorEastAsia"/>
          <w:color w:val="000000" w:themeColor="text1"/>
          <w:sz w:val="28"/>
          <w:szCs w:val="28"/>
          <w14:textFill>
            <w14:solidFill>
              <w14:schemeClr w14:val="tx1"/>
            </w14:solidFill>
          </w14:textFill>
        </w:rPr>
      </w:pPr>
    </w:p>
    <w:p>
      <w:pPr>
        <w:spacing w:line="400" w:lineRule="exact"/>
        <w:jc w:val="left"/>
        <w:rPr>
          <w:rFonts w:asciiTheme="minorEastAsia" w:hAnsiTheme="minorEastAsia"/>
          <w:color w:val="000000" w:themeColor="text1"/>
          <w:sz w:val="28"/>
          <w:szCs w:val="28"/>
          <w14:textFill>
            <w14:solidFill>
              <w14:schemeClr w14:val="tx1"/>
            </w14:solidFill>
          </w14:textFill>
        </w:rPr>
        <w:sectPr>
          <w:pgSz w:w="11906" w:h="16838"/>
          <w:pgMar w:top="1134" w:right="1134" w:bottom="1134" w:left="1134" w:header="454" w:footer="567" w:gutter="0"/>
          <w:cols w:space="425" w:num="1"/>
          <w:docGrid w:linePitch="312" w:charSpace="0"/>
        </w:sectPr>
      </w:pPr>
    </w:p>
    <w:p>
      <w:pPr>
        <w:pStyle w:val="5"/>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请仔细阅读以下内容：</w:t>
      </w:r>
    </w:p>
    <w:p>
      <w:pPr>
        <w:spacing w:line="360" w:lineRule="auto"/>
        <w:ind w:left="560"/>
        <w:jc w:val="left"/>
        <w:rPr>
          <w:rFonts w:ascii="宋体" w:hAnsi="宋体"/>
          <w:color w:val="000000"/>
          <w:sz w:val="28"/>
          <w:szCs w:val="28"/>
        </w:rPr>
      </w:pPr>
      <w:r>
        <w:rPr>
          <w:rFonts w:hint="eastAsia" w:ascii="宋体" w:hAnsi="宋体"/>
          <w:color w:val="000000"/>
          <w:sz w:val="28"/>
          <w:szCs w:val="28"/>
        </w:rPr>
        <w:t>一、有下列情况之一者，本单位将不对贵司进行招标</w:t>
      </w:r>
    </w:p>
    <w:p>
      <w:pPr>
        <w:spacing w:line="360" w:lineRule="auto"/>
        <w:ind w:left="560"/>
        <w:jc w:val="left"/>
        <w:rPr>
          <w:rFonts w:ascii="宋体" w:hAnsi="宋体"/>
          <w:color w:val="000000"/>
          <w:sz w:val="28"/>
          <w:szCs w:val="28"/>
        </w:rPr>
      </w:pPr>
      <w:r>
        <w:rPr>
          <w:rFonts w:hint="eastAsia" w:ascii="宋体" w:hAnsi="宋体"/>
          <w:color w:val="000000"/>
          <w:sz w:val="28"/>
          <w:szCs w:val="28"/>
        </w:rPr>
        <w:t>1.投标文件、签字及印章不全；</w:t>
      </w:r>
    </w:p>
    <w:p>
      <w:pPr>
        <w:spacing w:line="360" w:lineRule="auto"/>
        <w:ind w:left="560"/>
        <w:jc w:val="left"/>
        <w:rPr>
          <w:rFonts w:ascii="宋体" w:hAnsi="宋体"/>
          <w:color w:val="000000"/>
          <w:sz w:val="28"/>
          <w:szCs w:val="28"/>
        </w:rPr>
      </w:pPr>
      <w:r>
        <w:rPr>
          <w:rFonts w:hint="eastAsia" w:ascii="宋体" w:hAnsi="宋体"/>
          <w:color w:val="000000"/>
          <w:sz w:val="28"/>
          <w:szCs w:val="28"/>
        </w:rPr>
        <w:t>2.未按要求格式填写或字迹模糊、辨认不清；</w:t>
      </w:r>
    </w:p>
    <w:p>
      <w:pPr>
        <w:spacing w:line="360" w:lineRule="auto"/>
        <w:ind w:left="560"/>
        <w:jc w:val="left"/>
        <w:rPr>
          <w:rFonts w:ascii="宋体" w:hAnsi="宋体"/>
          <w:color w:val="000000"/>
          <w:sz w:val="28"/>
          <w:szCs w:val="28"/>
        </w:rPr>
      </w:pPr>
      <w:r>
        <w:rPr>
          <w:rFonts w:hint="eastAsia" w:ascii="宋体" w:hAnsi="宋体"/>
          <w:color w:val="000000"/>
          <w:sz w:val="28"/>
          <w:szCs w:val="28"/>
        </w:rPr>
        <w:t>3.文件为传真件；</w:t>
      </w:r>
    </w:p>
    <w:p>
      <w:pPr>
        <w:spacing w:line="360" w:lineRule="auto"/>
        <w:ind w:left="560"/>
        <w:jc w:val="left"/>
        <w:rPr>
          <w:rFonts w:ascii="宋体" w:hAnsi="宋体"/>
          <w:color w:val="000000"/>
          <w:sz w:val="28"/>
          <w:szCs w:val="28"/>
        </w:rPr>
      </w:pPr>
      <w:r>
        <w:rPr>
          <w:rFonts w:hint="eastAsia" w:ascii="宋体" w:hAnsi="宋体"/>
          <w:color w:val="000000"/>
          <w:sz w:val="28"/>
          <w:szCs w:val="28"/>
        </w:rPr>
        <w:t>4.供应商之间有恶意或虚假要约行为；</w:t>
      </w:r>
    </w:p>
    <w:p>
      <w:pPr>
        <w:spacing w:line="360" w:lineRule="auto"/>
        <w:ind w:left="560"/>
        <w:jc w:val="left"/>
        <w:rPr>
          <w:rFonts w:ascii="宋体" w:hAnsi="宋体"/>
          <w:color w:val="000000"/>
          <w:sz w:val="28"/>
          <w:szCs w:val="28"/>
        </w:rPr>
      </w:pPr>
      <w:r>
        <w:rPr>
          <w:rFonts w:hint="eastAsia" w:ascii="宋体" w:hAnsi="宋体"/>
          <w:color w:val="000000"/>
          <w:sz w:val="28"/>
          <w:szCs w:val="28"/>
        </w:rPr>
        <w:t>5.文件失实。</w:t>
      </w:r>
    </w:p>
    <w:p>
      <w:pPr>
        <w:spacing w:line="360" w:lineRule="auto"/>
        <w:ind w:left="560"/>
        <w:jc w:val="left"/>
        <w:rPr>
          <w:rFonts w:ascii="宋体" w:hAnsi="宋体"/>
          <w:color w:val="000000"/>
          <w:sz w:val="28"/>
          <w:szCs w:val="28"/>
        </w:rPr>
      </w:pPr>
      <w:r>
        <w:rPr>
          <w:rFonts w:hint="eastAsia" w:ascii="宋体" w:hAnsi="宋体"/>
          <w:color w:val="000000"/>
          <w:sz w:val="28"/>
          <w:szCs w:val="28"/>
        </w:rPr>
        <w:t>二、对于本次活动，本单位特作如下声明：</w:t>
      </w:r>
    </w:p>
    <w:p>
      <w:pPr>
        <w:spacing w:line="360" w:lineRule="auto"/>
        <w:ind w:left="560"/>
        <w:jc w:val="left"/>
        <w:rPr>
          <w:rFonts w:ascii="宋体" w:hAnsi="宋体"/>
          <w:color w:val="000000"/>
          <w:sz w:val="28"/>
          <w:szCs w:val="28"/>
        </w:rPr>
      </w:pPr>
      <w:r>
        <w:rPr>
          <w:rFonts w:hint="eastAsia" w:ascii="宋体" w:hAnsi="宋体"/>
          <w:color w:val="000000"/>
          <w:sz w:val="28"/>
          <w:szCs w:val="28"/>
        </w:rPr>
        <w:t>1.本单位保留此次活动解释权；</w:t>
      </w:r>
    </w:p>
    <w:p>
      <w:pPr>
        <w:spacing w:line="360" w:lineRule="auto"/>
        <w:ind w:left="560"/>
        <w:jc w:val="left"/>
        <w:rPr>
          <w:rFonts w:ascii="宋体" w:hAnsi="宋体"/>
          <w:color w:val="000000"/>
          <w:sz w:val="28"/>
          <w:szCs w:val="28"/>
        </w:rPr>
      </w:pPr>
      <w:r>
        <w:rPr>
          <w:rFonts w:hint="eastAsia" w:ascii="宋体" w:hAnsi="宋体"/>
          <w:color w:val="000000"/>
          <w:sz w:val="28"/>
          <w:szCs w:val="28"/>
        </w:rPr>
        <w:t>2.贵公司交于本单位的所有文件将不予归还；</w:t>
      </w:r>
    </w:p>
    <w:p>
      <w:pPr>
        <w:spacing w:line="360" w:lineRule="auto"/>
        <w:ind w:left="480" w:firstLine="140" w:firstLineChars="50"/>
        <w:jc w:val="left"/>
        <w:rPr>
          <w:rFonts w:ascii="宋体" w:hAnsi="宋体"/>
          <w:color w:val="000000"/>
          <w:sz w:val="28"/>
          <w:szCs w:val="28"/>
        </w:rPr>
      </w:pPr>
      <w:r>
        <w:rPr>
          <w:rFonts w:hint="eastAsia" w:ascii="宋体" w:hAnsi="宋体"/>
          <w:color w:val="000000"/>
          <w:sz w:val="28"/>
          <w:szCs w:val="28"/>
        </w:rPr>
        <w:t>3.本单位的承诺将采用合同书的形式，双方签字盖章时生效；</w:t>
      </w:r>
    </w:p>
    <w:p>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4.本次招标为同方案下的一次性报价，请务必填写最优价。</w:t>
      </w:r>
    </w:p>
    <w:p>
      <w:pPr>
        <w:tabs>
          <w:tab w:val="left" w:pos="960"/>
        </w:tabs>
        <w:spacing w:line="360" w:lineRule="auto"/>
        <w:ind w:left="560"/>
        <w:jc w:val="left"/>
        <w:rPr>
          <w:rFonts w:ascii="宋体" w:hAnsi="宋体"/>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cs="宋体"/>
          <w:b/>
          <w:color w:val="000000" w:themeColor="text1"/>
          <w:kern w:val="0"/>
          <w:sz w:val="40"/>
          <w:szCs w:val="21"/>
          <w14:textFill>
            <w14:solidFill>
              <w14:schemeClr w14:val="tx1"/>
            </w14:solidFill>
          </w14:textFill>
        </w:rPr>
      </w:pPr>
    </w:p>
    <w:sectPr>
      <w:pgSz w:w="11906" w:h="16838"/>
      <w:pgMar w:top="1134" w:right="1134" w:bottom="1134" w:left="1134" w:header="454"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仿宋_GB2312">
    <w:altName w:val="仿宋"/>
    <w:panose1 w:val="020B0604020202020204"/>
    <w:charset w:val="86"/>
    <w:family w:val="modern"/>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drawing>
        <wp:inline distT="0" distB="0" distL="0" distR="0">
          <wp:extent cx="1463040" cy="274320"/>
          <wp:effectExtent l="0" t="0" r="3810" b="1143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3040" cy="274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35132"/>
    <w:rsid w:val="00050C5A"/>
    <w:rsid w:val="001823E3"/>
    <w:rsid w:val="001C3495"/>
    <w:rsid w:val="001C6B95"/>
    <w:rsid w:val="00482B6E"/>
    <w:rsid w:val="00531AE9"/>
    <w:rsid w:val="00571555"/>
    <w:rsid w:val="005F191A"/>
    <w:rsid w:val="00615168"/>
    <w:rsid w:val="00776C5F"/>
    <w:rsid w:val="00790270"/>
    <w:rsid w:val="0096699D"/>
    <w:rsid w:val="00A14A62"/>
    <w:rsid w:val="00A57841"/>
    <w:rsid w:val="00C01951"/>
    <w:rsid w:val="00C610A5"/>
    <w:rsid w:val="00CD4E5B"/>
    <w:rsid w:val="00E40BAE"/>
    <w:rsid w:val="18352CE5"/>
    <w:rsid w:val="44235132"/>
    <w:rsid w:val="592F01AE"/>
    <w:rsid w:val="64DE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Salutation"/>
    <w:basedOn w:val="1"/>
    <w:next w:val="1"/>
    <w:uiPriority w:val="0"/>
    <w:rPr>
      <w:rFonts w:eastAsia="楷体_GB2312"/>
      <w:sz w:val="28"/>
    </w:rPr>
  </w:style>
  <w:style w:type="paragraph" w:styleId="4">
    <w:name w:val="Closing"/>
    <w:basedOn w:val="1"/>
    <w:qFormat/>
    <w:uiPriority w:val="0"/>
    <w:pPr>
      <w:ind w:left="100" w:leftChars="2100"/>
    </w:pPr>
    <w:rPr>
      <w:rFonts w:eastAsia="楷体_GB2312"/>
      <w:sz w:val="28"/>
    </w:rPr>
  </w:style>
  <w:style w:type="paragraph" w:styleId="5">
    <w:name w:val="Body Text"/>
    <w:basedOn w:val="1"/>
    <w:qFormat/>
    <w:uiPriority w:val="0"/>
    <w:pPr>
      <w:spacing w:line="360" w:lineRule="auto"/>
    </w:pPr>
    <w:rPr>
      <w:sz w:val="24"/>
      <w:szCs w:val="20"/>
    </w:rPr>
  </w:style>
  <w:style w:type="paragraph" w:styleId="6">
    <w:name w:val="Body Text Indent"/>
    <w:basedOn w:val="1"/>
    <w:unhideWhenUsed/>
    <w:qFormat/>
    <w:uiPriority w:val="99"/>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2"/>
    <w:next w:val="2"/>
    <w:link w:val="21"/>
    <w:uiPriority w:val="0"/>
    <w:rPr>
      <w:b/>
      <w:bCs/>
    </w:rPr>
  </w:style>
  <w:style w:type="table" w:styleId="13">
    <w:name w:val="Table Grid"/>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basedOn w:val="14"/>
    <w:uiPriority w:val="0"/>
    <w:rPr>
      <w:sz w:val="21"/>
      <w:szCs w:val="21"/>
    </w:rPr>
  </w:style>
  <w:style w:type="paragraph" w:customStyle="1" w:styleId="17">
    <w:name w:val="列出段落1"/>
    <w:basedOn w:val="1"/>
    <w:qFormat/>
    <w:uiPriority w:val="34"/>
    <w:pPr>
      <w:ind w:firstLine="420" w:firstLineChars="200"/>
    </w:pPr>
  </w:style>
  <w:style w:type="character" w:customStyle="1" w:styleId="18">
    <w:name w:val="页脚 字符"/>
    <w:basedOn w:val="14"/>
    <w:link w:val="8"/>
    <w:qFormat/>
    <w:uiPriority w:val="0"/>
    <w:rPr>
      <w:kern w:val="2"/>
      <w:sz w:val="18"/>
      <w:szCs w:val="18"/>
    </w:rPr>
  </w:style>
  <w:style w:type="character" w:customStyle="1" w:styleId="19">
    <w:name w:val="批注框文本 字符"/>
    <w:basedOn w:val="14"/>
    <w:link w:val="7"/>
    <w:qFormat/>
    <w:uiPriority w:val="0"/>
    <w:rPr>
      <w:kern w:val="2"/>
      <w:sz w:val="18"/>
      <w:szCs w:val="18"/>
    </w:rPr>
  </w:style>
  <w:style w:type="character" w:customStyle="1" w:styleId="20">
    <w:name w:val="批注文字 字符"/>
    <w:basedOn w:val="14"/>
    <w:link w:val="2"/>
    <w:uiPriority w:val="0"/>
    <w:rPr>
      <w:kern w:val="2"/>
      <w:sz w:val="21"/>
      <w:szCs w:val="24"/>
    </w:rPr>
  </w:style>
  <w:style w:type="character" w:customStyle="1" w:styleId="21">
    <w:name w:val="批注主题 字符"/>
    <w:basedOn w:val="20"/>
    <w:link w:val="11"/>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A000C-6E00-D04E-B979-D4725C0D536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661</Words>
  <Characters>3771</Characters>
  <Lines>31</Lines>
  <Paragraphs>8</Paragraphs>
  <TotalTime>296</TotalTime>
  <ScaleCrop>false</ScaleCrop>
  <LinksUpToDate>false</LinksUpToDate>
  <CharactersWithSpaces>4424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2020-06-10T02:37:00Z</dcterms:created>
  <dc:creator>wujiafei</dc:creator>
  <cp:lastModifiedBy>Administrator</cp:lastModifiedBy>
  <cp:lastPrinted>2020-06-17T09:04:00Z</cp:lastPrinted>
  <dcterms:modified xsi:type="dcterms:W3CDTF">2020-06-18T02:29:41Z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